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PATRIMONIO HISTÓRICO CULTURAL: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2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de Profesor/a o Licenciado/a en Historia (disciplina base) o de disciplinas afines como Letras, Geografía, Filosofía, Sociología, Antropología, Arte, Abogacía, Agrarias, Arquitectura, en Conservación, Restauración, Museografía y Turismo entre otras cuya obtención se derive de un plan de estudios con una duración mínima de cuatro (4) años. En general este doctorado se encuentra orientado a todo el campo de las Ciencias Sociales y Humanos, así como hacia otras disciplinas afines.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Patrimonio Histórico Cultural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PATRIMONIO HISTÓRICO CULTURAL: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9Y7TZLJwXmpaxebgiLAo5gmtQ==">CgMxLjAyCGguZ2pkZ3hzOAByITFNV2E2U2FfY1UzcFRXV2pyS05sUEtlS25pR0M2SmFVdw==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2025-02-27T16:11:00Z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