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Encuentro por la identidad de las Ciencias de la Educación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Políticas, prácticas y formación en contexto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Apellido: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Magister Emilse E Carmona – DNI Nº 18207643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emilsecoaching@gmail.com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Magister Luciana Buteler – DNI Nº 24362257 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lulibuteler@hotmail.com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Ivana del Valle Merlo DNI 32.689.049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imerlosj@gmail.com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Angustias Laura Jiménez DNI 17046088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laura.jimenezosuna@gmail.com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 Patricia Mercado DNI N 24689934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pvmercado08@gmail.com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Filiación Institucional: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IDCE – Departamento de Filosofía y Ciencias de la Educación – FFHA UNSJ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Ejes en lo que desea participar: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Nuevas Tecnologías y Educación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Modalidades del Sistema Educativo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Desafíos y Problematizaciones y Contextos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Desafíos: 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TIC TAC-Modalidad Salud: Formalización de estrategias de aprendizaje colaborativo, cooperativo, inclusivo, e ubicuo a través del enfoque pedagógico de Aprendizaje Invertido con app según diagnósticos en Modalidad Salud.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El Aprendizaje invertido entendido según Dr. Raúl Santiago como un </w:t>
      </w:r>
      <w:r w:rsidDel="00000000" w:rsidR="00000000" w:rsidRPr="00000000">
        <w:rPr>
          <w:i w:val="1"/>
          <w:rtl w:val="0"/>
        </w:rPr>
        <w:t xml:space="preserve">enfoque pedagógico en el que la Instrucción directa se realiza fuera del aula y el tiempo presencial se utiliza para desarrollar actividades de aprendizaje significativo y personalizado.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 premisa básica de este modelo es que la Instrucción directa es efectiva cuando se hace de manera individual, pero debido a los recursos de las universidades, esto requeriría de un equipo docente mucho más grande el cual la mayoría de las instituciones no podrían costear (Bergmann y Sams, 2014, p. 29). Esto no quiere decir que actualmente la instrucción sea necesariamente mala: puede ser una manera efectiva de adquirir conocimiento nuevo; el inconveniente es el ritmo. Para algunos estudiantes el avance puede ser muy lento pues se revisan contenidos que ya saben; para otros, muy rápido porque pueden carecer del conocimiento previo necesario para comprender los conceptos (Goodwin y Miller, 2013, p. 78).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Problematizaciones: Dilucidar la relación TIC TAC aprendizaje Invertido/Ubicuo para la inclusión educativa en distintos contextos educativas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Otro desafío formación profesional en las distintas modalidades del sistema educativo.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17" w:top="1417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-217169</wp:posOffset>
          </wp:positionV>
          <wp:extent cx="5612130" cy="89852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898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pvmercado08@gmail.com" TargetMode="External"/><Relationship Id="rId9" Type="http://schemas.openxmlformats.org/officeDocument/2006/relationships/hyperlink" Target="mailto:laura.jimenezosuna@g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emilsecoaching@gmail.com" TargetMode="External"/><Relationship Id="rId7" Type="http://schemas.openxmlformats.org/officeDocument/2006/relationships/hyperlink" Target="mailto:lulibuteler@hotmail.com" TargetMode="External"/><Relationship Id="rId8" Type="http://schemas.openxmlformats.org/officeDocument/2006/relationships/hyperlink" Target="mailto:imerlosj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