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Blanca Benítez,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Silvana Peralta,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Marcia Miguel,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Alicia Millani,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Silvina Carelli,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Patricia Zuliani,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María Inés Díaz,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Silvia Lucero.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Filosofía, Humanidades y Artes. UNSJ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Prácticas y producciones en contexto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Análisis de la incidencia del sistema de becas en la finalización de tesis de grado y posgrado en la FFHA- UNSJ</w:t>
      </w:r>
    </w:p>
    <w:p w:rsidR="00000000" w:rsidDel="00000000" w:rsidP="00000000" w:rsidRDefault="00000000" w:rsidRPr="00000000" w14:paraId="00000012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El trabajo que presentamos constituye un avance del Proyecto de Investigación “Trayectorias socio educativas y políticas de finalización de tesis en las carreras de grado y posgrado en la Facultad de Filosofía, Humanidades y Artes- UNSJ”, aprobado por Res. …..</w:t>
      </w:r>
    </w:p>
    <w:p w:rsidR="00000000" w:rsidDel="00000000" w:rsidP="00000000" w:rsidRDefault="00000000" w:rsidRPr="00000000" w14:paraId="00000013">
      <w:pPr>
        <w:spacing w:line="360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Intentamos, a través de un análisis comparativo, develar la diversidad de actores, intereses y racionalidades en juego en las normativas que existen sobre becas para finalizar trabajos de tesis de grado y de posgrado. En el análisis exploramos, por un lado, la definición de ciertas variables y propósitos, como también sus componentes y contexto de surgimiento; y por otro lado avanzamos sobre las condiciones, las relaciones y prácticas que promueven su materialidad. Empíricamente, trabajamos con ordenanzas de la UNSJ sobre becas internas y externas de investigación y creación ( las ordenanzas N° 16/2008-CS y N° 031/ 1 5-CS, además del Estatuto de la UNSJ). </w:t>
      </w:r>
    </w:p>
    <w:p w:rsidR="00000000" w:rsidDel="00000000" w:rsidP="00000000" w:rsidRDefault="00000000" w:rsidRPr="00000000" w14:paraId="00000014">
      <w:pPr>
        <w:spacing w:line="360" w:lineRule="auto"/>
        <w:ind w:firstLine="284"/>
        <w:jc w:val="both"/>
        <w:rPr/>
      </w:pPr>
      <w:r w:rsidDel="00000000" w:rsidR="00000000" w:rsidRPr="00000000">
        <w:rPr>
          <w:rtl w:val="0"/>
        </w:rPr>
        <w:t xml:space="preserve">  Además, se presenta un análisis cualitativo de entrevistas a doctorandos y tesistas que finalizaron sus tesis, para mensurar el impacto de las reglamentaciones, los incentivos económicos y condiciones materiales que contextualizaron y posibilitaron sus finalizaciones. </w:t>
      </w:r>
    </w:p>
    <w:sectPr>
      <w:headerReference r:id="rId6" w:type="default"/>
      <w:pgSz w:h="15840" w:w="12240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-360044</wp:posOffset>
          </wp:positionV>
          <wp:extent cx="5612130" cy="8985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