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Encuentro por la identidad de las Ciencias de la Educación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Políticas, prácticas y formación en contexto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y Apellido: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Prof. María Celeste López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Filiación Institucional: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Eje que desea participar: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Resumen: 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LA FUNCIÓN DE LA ESCUELA SECUNDARIA Y EL PAPEL DEL ASESOR PEDAGÓGICO</w:t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 </w:t>
      </w:r>
      <w:r w:rsidDel="00000000" w:rsidR="00000000" w:rsidRPr="00000000">
        <w:rPr>
          <w:i w:val="1"/>
          <w:rtl w:val="0"/>
        </w:rPr>
        <w:t xml:space="preserve">Yo no quiero venir más. ¿Para qué sirve la escuela?</w:t>
      </w:r>
      <w:r w:rsidDel="00000000" w:rsidR="00000000" w:rsidRPr="00000000">
        <w:rPr>
          <w:rtl w:val="0"/>
        </w:rPr>
        <w:t xml:space="preserve"> Cuando Jonathan me preguntaba por el sentido de la escuela, no se refería a la escuela primaria (a la que claramente le debe el haber aprendido a leer y a escribir). Él no le encuentra sentido a la escuela secundaria. Y al igual que Jonathan, muchos pedagogos nos hacemos la misma pregunta.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Hacia finales del siglo XIX, se sancionaron dos leyes que rigieron el rumbo pedagógico de nuestro país por poco más de un siglo…. Nos referimos a la Ley 1420, orientada a la educación primaria, y la Ley Avellaneda, creada para organizar la vida universitaria. ¿Y la escuela secundaria? Se diluye su función frente a la claridad de la misión alfabetizadora de la escuela primaria, y a la función profesionalizante a la educación universitaria. </w:t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Formar al ciudadano, preparar para la universidad, formar para el mundo del trabajo, son algunas de las funciones que se le han adjudicado a la escuela secundaria. ¿Pero realmente cumple con estos mandatos?</w:t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Nos proponemos reflexionar sobre el sentido de la escuela secundaria en la Argentina a la luz de nuestra historia de la educación, teniendo en cuenta que es primordial realizar esta tarea para luego posicionarnos como asesores pedagógicos en este nivel educativo.</w:t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417" w:top="1417" w:left="1701" w:right="1701" w:header="56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-407668</wp:posOffset>
          </wp:positionV>
          <wp:extent cx="5400040" cy="733425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7334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