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Encuentro por la identidad de las Ciencias de la Educación</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Políticas, prácticas y formación en contexto</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200" w:line="360" w:lineRule="auto"/>
        <w:ind w:left="720" w:hanging="360"/>
        <w:jc w:val="both"/>
        <w:rPr>
          <w:color w:val="000000"/>
        </w:rPr>
      </w:pPr>
      <w:bookmarkStart w:colFirst="0" w:colLast="0" w:name="_gjdgxs" w:id="0"/>
      <w:bookmarkEnd w:id="0"/>
      <w:r w:rsidDel="00000000" w:rsidR="00000000" w:rsidRPr="00000000">
        <w:rPr>
          <w:color w:val="000000"/>
          <w:rtl w:val="0"/>
        </w:rPr>
        <w:t xml:space="preserve">Nombre y Apellido: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Elena Barroso</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Mariela Meljin</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360" w:lineRule="auto"/>
        <w:ind w:left="1080" w:hanging="360"/>
        <w:jc w:val="both"/>
        <w:rPr/>
      </w:pPr>
      <w:bookmarkStart w:colFirst="0" w:colLast="0" w:name="_1fob9te" w:id="2"/>
      <w:bookmarkEnd w:id="2"/>
      <w:r w:rsidDel="00000000" w:rsidR="00000000" w:rsidRPr="00000000">
        <w:rPr>
          <w:rtl w:val="0"/>
        </w:rPr>
        <w:t xml:space="preserve">Lorena Cruz</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360" w:lineRule="auto"/>
        <w:ind w:left="1080" w:hanging="360"/>
        <w:jc w:val="both"/>
        <w:rPr/>
      </w:pPr>
      <w:bookmarkStart w:colFirst="0" w:colLast="0" w:name="_3znysh7" w:id="3"/>
      <w:bookmarkEnd w:id="3"/>
      <w:r w:rsidDel="00000000" w:rsidR="00000000" w:rsidRPr="00000000">
        <w:rPr>
          <w:rtl w:val="0"/>
        </w:rPr>
        <w:t xml:space="preserve">Laura Lepez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tl w:val="0"/>
        </w:rPr>
        <w:t xml:space="preserve">Marcela Bruna</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360" w:lineRule="auto"/>
        <w:ind w:left="1080" w:hanging="360"/>
        <w:jc w:val="both"/>
        <w:rPr/>
      </w:pPr>
      <w:r w:rsidDel="00000000" w:rsidR="00000000" w:rsidRPr="00000000">
        <w:rPr>
          <w:rtl w:val="0"/>
        </w:rPr>
        <w:t xml:space="preserve">Solange Astudillo</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00" w:line="360" w:lineRule="auto"/>
        <w:ind w:left="720" w:hanging="360"/>
        <w:jc w:val="both"/>
        <w:rPr>
          <w:color w:val="000000"/>
        </w:rPr>
      </w:pPr>
      <w:r w:rsidDel="00000000" w:rsidR="00000000" w:rsidRPr="00000000">
        <w:rPr>
          <w:color w:val="000000"/>
          <w:rtl w:val="0"/>
        </w:rPr>
        <w:t xml:space="preserve">Filiación Institucional: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200" w:line="360" w:lineRule="auto"/>
        <w:ind w:left="1080" w:hanging="360"/>
        <w:jc w:val="both"/>
        <w:rPr>
          <w:color w:val="000000"/>
        </w:rPr>
      </w:pPr>
      <w:r w:rsidDel="00000000" w:rsidR="00000000" w:rsidRPr="00000000">
        <w:rPr>
          <w:rtl w:val="0"/>
        </w:rPr>
        <w:t xml:space="preserve">Instituto de Ciencias de la Educación, </w:t>
      </w:r>
      <w:r w:rsidDel="00000000" w:rsidR="00000000" w:rsidRPr="00000000">
        <w:rPr>
          <w:color w:val="000000"/>
          <w:rtl w:val="0"/>
        </w:rPr>
        <w:t xml:space="preserve">Facultad de Filosofía y Letras, Universidad Nacio</w:t>
      </w:r>
      <w:r w:rsidDel="00000000" w:rsidR="00000000" w:rsidRPr="00000000">
        <w:rPr>
          <w:rtl w:val="0"/>
        </w:rPr>
        <w:t xml:space="preserve">nal de Cuyo</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00" w:line="360" w:lineRule="auto"/>
        <w:ind w:left="720" w:hanging="360"/>
        <w:jc w:val="both"/>
        <w:rPr>
          <w:color w:val="000000"/>
        </w:rPr>
      </w:pPr>
      <w:r w:rsidDel="00000000" w:rsidR="00000000" w:rsidRPr="00000000">
        <w:rPr>
          <w:color w:val="000000"/>
          <w:rtl w:val="0"/>
        </w:rPr>
        <w:t xml:space="preserve">Eje que desea participar: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200" w:line="360" w:lineRule="auto"/>
        <w:ind w:left="1080" w:hanging="360"/>
        <w:jc w:val="both"/>
        <w:rPr>
          <w:color w:val="000000"/>
        </w:rPr>
      </w:pPr>
      <w:r w:rsidDel="00000000" w:rsidR="00000000" w:rsidRPr="00000000">
        <w:rPr>
          <w:color w:val="000000"/>
          <w:rtl w:val="0"/>
        </w:rPr>
        <w:t xml:space="preserve">Conversatorio sobre experiencias en investigación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200" w:line="360" w:lineRule="auto"/>
        <w:ind w:left="720" w:hanging="360"/>
        <w:jc w:val="both"/>
        <w:rPr>
          <w:color w:val="000000"/>
        </w:rPr>
      </w:pPr>
      <w:r w:rsidDel="00000000" w:rsidR="00000000" w:rsidRPr="00000000">
        <w:rPr>
          <w:color w:val="000000"/>
          <w:rtl w:val="0"/>
        </w:rPr>
        <w:t xml:space="preserve">Resumen: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36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Con la intención de participar de este Encuentro por la identidad de las Ciencias de la Educación, el Instituto de Ciencias de la Educación propone un conversatorio que pretende reunir las distintas investigaciones que se realizan dentro del Instituto y que abordan diversas problemáticas del campo de la educación. Se plantea entonces una experiencia de diálogo con egresados, colegas y estudiantes para propiciar el intercambio con los siguientes objetivos: </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color w:val="000000"/>
        </w:rPr>
      </w:pPr>
      <w:r w:rsidDel="00000000" w:rsidR="00000000" w:rsidRPr="00000000">
        <w:rPr>
          <w:color w:val="000000"/>
          <w:rtl w:val="0"/>
        </w:rPr>
        <w:t xml:space="preserve">Compartir los alcances y límites de la investigación educativa en el campo de las Ciencias de la Educación.</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color w:val="000000"/>
        </w:rPr>
      </w:pPr>
      <w:r w:rsidDel="00000000" w:rsidR="00000000" w:rsidRPr="00000000">
        <w:rPr>
          <w:color w:val="000000"/>
          <w:rtl w:val="0"/>
        </w:rPr>
        <w:t xml:space="preserve">Debatir acerca de las áreas de vacancia que se detectan en el medio, que surgen de la práctica situada, y no son abordadas desde las líneas de investigación propuestas en la universidad.</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color w:val="000000"/>
        </w:rPr>
      </w:pPr>
      <w:r w:rsidDel="00000000" w:rsidR="00000000" w:rsidRPr="00000000">
        <w:rPr>
          <w:color w:val="000000"/>
          <w:rtl w:val="0"/>
        </w:rPr>
        <w:t xml:space="preserve">Repensar las articulaciones con otros organismos vinculados a la investigación educativa y las posibilidades y límites para la inserción laboral en estos contextos.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200" w:line="360" w:lineRule="auto"/>
        <w:ind w:left="720" w:hanging="360"/>
        <w:jc w:val="both"/>
        <w:rPr>
          <w:color w:val="000000"/>
        </w:rPr>
      </w:pPr>
      <w:bookmarkStart w:colFirst="0" w:colLast="0" w:name="_2et92p0" w:id="4"/>
      <w:bookmarkEnd w:id="4"/>
      <w:r w:rsidDel="00000000" w:rsidR="00000000" w:rsidRPr="00000000">
        <w:rPr>
          <w:color w:val="000000"/>
          <w:rtl w:val="0"/>
        </w:rPr>
        <w:t xml:space="preserve">Abrir espacios de intercambio para conformar nuevos grupos de investigación que estrechen los vínculos entre la institución formadora y el medio.</w:t>
      </w:r>
    </w:p>
    <w:sectPr>
      <w:headerReference r:id="rId6" w:type="default"/>
      <w:pgSz w:h="15840" w:w="12240"/>
      <w:pgMar w:bottom="1417" w:top="1417"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color w:val="000000"/>
      </w:rPr>
      <w:drawing>
        <wp:inline distB="0" distT="0" distL="0" distR="0">
          <wp:extent cx="5612130" cy="898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12130" cy="898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